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D71" w:rsidRDefault="00125D71" w:rsidP="00125D71">
      <w:pPr>
        <w:pStyle w:val="CM1"/>
        <w:spacing w:before="200" w:after="200"/>
        <w:jc w:val="center"/>
        <w:rPr>
          <w:color w:val="000000"/>
        </w:rPr>
      </w:pPr>
    </w:p>
    <w:p w:rsidR="00125D71" w:rsidRDefault="00125D71" w:rsidP="00125D71">
      <w:pPr>
        <w:pStyle w:val="CM1"/>
        <w:spacing w:before="200" w:after="200"/>
        <w:jc w:val="center"/>
        <w:rPr>
          <w:color w:val="000000"/>
        </w:rPr>
      </w:pPr>
    </w:p>
    <w:p w:rsidR="00125D71" w:rsidRDefault="00125D71" w:rsidP="00125D71">
      <w:pPr>
        <w:pStyle w:val="CM3"/>
        <w:spacing w:before="60" w:after="60"/>
        <w:rPr>
          <w:color w:val="000000"/>
        </w:rPr>
      </w:pPr>
    </w:p>
    <w:p w:rsidR="00125D71" w:rsidRDefault="00125D71" w:rsidP="00125D71">
      <w:pPr>
        <w:pStyle w:val="Default"/>
      </w:pPr>
    </w:p>
    <w:p w:rsidR="00125D71" w:rsidRDefault="00125D71" w:rsidP="00A025A0">
      <w:pPr>
        <w:pStyle w:val="CM1"/>
        <w:spacing w:before="200" w:after="200"/>
        <w:jc w:val="both"/>
        <w:rPr>
          <w:color w:val="000000"/>
        </w:rPr>
      </w:pPr>
      <w:r>
        <w:t xml:space="preserve"> </w:t>
      </w:r>
    </w:p>
    <w:p w:rsidR="00125D71" w:rsidRDefault="00125D71" w:rsidP="00A025A0">
      <w:pPr>
        <w:pStyle w:val="CM3"/>
        <w:spacing w:before="60" w:after="60"/>
        <w:jc w:val="both"/>
        <w:rPr>
          <w:color w:val="000000"/>
        </w:rPr>
      </w:pPr>
    </w:p>
    <w:p w:rsidR="00125D71" w:rsidRDefault="00125D71" w:rsidP="00A025A0">
      <w:pPr>
        <w:pStyle w:val="CM4"/>
        <w:spacing w:before="60" w:after="60"/>
        <w:jc w:val="center"/>
        <w:rPr>
          <w:color w:val="211D1E"/>
          <w:sz w:val="19"/>
          <w:szCs w:val="19"/>
        </w:rPr>
      </w:pPr>
      <w:r>
        <w:rPr>
          <w:b/>
          <w:bCs/>
          <w:color w:val="211D1E"/>
          <w:sz w:val="19"/>
          <w:szCs w:val="19"/>
        </w:rPr>
        <w:t>REGOLAMENTO (CE) N. 1907/2006 DEL PARLAMENTO EUROPEO E DEL CONSIGLIO</w:t>
      </w:r>
    </w:p>
    <w:p w:rsidR="00125D71" w:rsidRDefault="00125D71" w:rsidP="00A025A0">
      <w:pPr>
        <w:pStyle w:val="CM4"/>
        <w:spacing w:before="60" w:after="60"/>
        <w:jc w:val="center"/>
        <w:rPr>
          <w:i/>
          <w:iCs/>
          <w:color w:val="211D1E"/>
          <w:sz w:val="19"/>
          <w:szCs w:val="19"/>
        </w:rPr>
      </w:pPr>
      <w:r>
        <w:rPr>
          <w:b/>
          <w:bCs/>
          <w:color w:val="211D1E"/>
          <w:sz w:val="19"/>
          <w:szCs w:val="19"/>
        </w:rPr>
        <w:t>del 18 dicembre 2006</w:t>
      </w:r>
    </w:p>
    <w:p w:rsidR="00125D71" w:rsidRDefault="00125D71" w:rsidP="00A025A0">
      <w:pPr>
        <w:pStyle w:val="CM4"/>
        <w:spacing w:before="60" w:after="60"/>
        <w:jc w:val="both"/>
        <w:rPr>
          <w:i/>
          <w:iCs/>
          <w:color w:val="211D1E"/>
          <w:sz w:val="19"/>
          <w:szCs w:val="19"/>
        </w:rPr>
      </w:pPr>
    </w:p>
    <w:p w:rsidR="00125D71" w:rsidRDefault="00125D71" w:rsidP="00A025A0">
      <w:pPr>
        <w:pStyle w:val="CM4"/>
        <w:spacing w:before="60" w:after="60"/>
        <w:jc w:val="both"/>
        <w:rPr>
          <w:i/>
          <w:iCs/>
          <w:color w:val="211D1E"/>
          <w:sz w:val="19"/>
          <w:szCs w:val="19"/>
        </w:rPr>
      </w:pPr>
      <w:r>
        <w:rPr>
          <w:i/>
          <w:iCs/>
          <w:color w:val="211D1E"/>
          <w:sz w:val="19"/>
          <w:szCs w:val="19"/>
        </w:rPr>
        <w:t xml:space="preserve">Articolo 57 </w:t>
      </w:r>
    </w:p>
    <w:p w:rsidR="00125D71" w:rsidRDefault="00125D71" w:rsidP="00A025A0">
      <w:pPr>
        <w:pStyle w:val="CM4"/>
        <w:spacing w:before="60" w:after="60"/>
        <w:jc w:val="both"/>
        <w:rPr>
          <w:color w:val="211D1E"/>
          <w:sz w:val="19"/>
          <w:szCs w:val="19"/>
        </w:rPr>
      </w:pPr>
      <w:r>
        <w:rPr>
          <w:b/>
          <w:bCs/>
          <w:color w:val="211D1E"/>
          <w:sz w:val="19"/>
          <w:szCs w:val="19"/>
        </w:rPr>
        <w:t xml:space="preserve">Sostanze da includere nell'allegato XIV </w:t>
      </w:r>
    </w:p>
    <w:p w:rsidR="00125D71" w:rsidRDefault="00125D71" w:rsidP="00A025A0">
      <w:pPr>
        <w:pStyle w:val="CM4"/>
        <w:spacing w:before="60" w:after="60"/>
        <w:jc w:val="both"/>
        <w:rPr>
          <w:color w:val="211D1E"/>
          <w:sz w:val="19"/>
          <w:szCs w:val="19"/>
        </w:rPr>
      </w:pPr>
      <w:r>
        <w:rPr>
          <w:color w:val="211D1E"/>
          <w:sz w:val="19"/>
          <w:szCs w:val="19"/>
        </w:rPr>
        <w:t xml:space="preserve">Le sostanze seguenti possono essere incluse nell'allegato XIV secondo la procedura di cui all'articolo 58: </w:t>
      </w:r>
      <w:r>
        <w:rPr>
          <w:b/>
          <w:bCs/>
          <w:color w:val="211D1E"/>
          <w:sz w:val="19"/>
          <w:szCs w:val="19"/>
        </w:rPr>
        <w:t xml:space="preserve">▼M3 </w:t>
      </w:r>
    </w:p>
    <w:p w:rsidR="00125D71" w:rsidRDefault="00125D71" w:rsidP="00A025A0">
      <w:pPr>
        <w:pStyle w:val="CM4"/>
        <w:spacing w:before="60" w:after="60"/>
        <w:jc w:val="both"/>
        <w:rPr>
          <w:color w:val="211D1E"/>
          <w:sz w:val="19"/>
          <w:szCs w:val="19"/>
        </w:rPr>
      </w:pPr>
      <w:r>
        <w:rPr>
          <w:color w:val="211D1E"/>
          <w:sz w:val="19"/>
          <w:szCs w:val="19"/>
        </w:rPr>
        <w:t xml:space="preserve">a) le sostanze che rispondono ai criteri di classificazione nella classe di pericolo </w:t>
      </w:r>
      <w:r w:rsidRPr="005712AC">
        <w:rPr>
          <w:b/>
          <w:color w:val="211D1E"/>
          <w:sz w:val="19"/>
          <w:szCs w:val="19"/>
        </w:rPr>
        <w:t>cancerogenicità</w:t>
      </w:r>
      <w:r>
        <w:rPr>
          <w:color w:val="211D1E"/>
          <w:sz w:val="19"/>
          <w:szCs w:val="19"/>
        </w:rPr>
        <w:t xml:space="preserve">, categoria 1A o 1B, di cui al punto 3.6 dell'allegato I del regolamento (CE) n. 1272/2008; </w:t>
      </w:r>
    </w:p>
    <w:p w:rsidR="00125D71" w:rsidRDefault="00125D71" w:rsidP="00A025A0">
      <w:pPr>
        <w:pStyle w:val="CM4"/>
        <w:spacing w:before="60" w:after="60"/>
        <w:jc w:val="both"/>
        <w:rPr>
          <w:color w:val="211D1E"/>
          <w:sz w:val="19"/>
          <w:szCs w:val="19"/>
        </w:rPr>
      </w:pPr>
      <w:r>
        <w:rPr>
          <w:color w:val="211D1E"/>
          <w:sz w:val="19"/>
          <w:szCs w:val="19"/>
        </w:rPr>
        <w:t xml:space="preserve">b) le sostanze che rispondono ai criteri di classificazione nella classe di pericolo </w:t>
      </w:r>
      <w:proofErr w:type="spellStart"/>
      <w:r w:rsidRPr="005712AC">
        <w:rPr>
          <w:b/>
          <w:color w:val="211D1E"/>
          <w:sz w:val="19"/>
          <w:szCs w:val="19"/>
        </w:rPr>
        <w:t>mutagenicità</w:t>
      </w:r>
      <w:proofErr w:type="spellEnd"/>
      <w:r>
        <w:rPr>
          <w:color w:val="211D1E"/>
          <w:sz w:val="19"/>
          <w:szCs w:val="19"/>
        </w:rPr>
        <w:t xml:space="preserve"> sulle cellule germinali, categoria 1A o 1B, di cui al punto 3.5 dell'allegato I del regolamento (CE) n. 1272/2008; </w:t>
      </w:r>
    </w:p>
    <w:p w:rsidR="00125D71" w:rsidRDefault="00125D71" w:rsidP="00A025A0">
      <w:pPr>
        <w:pStyle w:val="CM4"/>
        <w:spacing w:before="60" w:after="60"/>
        <w:jc w:val="both"/>
        <w:rPr>
          <w:color w:val="211D1E"/>
          <w:sz w:val="19"/>
          <w:szCs w:val="19"/>
        </w:rPr>
      </w:pPr>
      <w:r>
        <w:rPr>
          <w:color w:val="211D1E"/>
          <w:sz w:val="19"/>
          <w:szCs w:val="19"/>
        </w:rPr>
        <w:t xml:space="preserve">c) le sostanze che rispondono ai criteri di classificazione nella classe di pericolo </w:t>
      </w:r>
      <w:r w:rsidRPr="005712AC">
        <w:rPr>
          <w:b/>
          <w:color w:val="211D1E"/>
          <w:sz w:val="19"/>
          <w:szCs w:val="19"/>
        </w:rPr>
        <w:t>tossicità per la riproduzione</w:t>
      </w:r>
      <w:r>
        <w:rPr>
          <w:color w:val="211D1E"/>
          <w:sz w:val="19"/>
          <w:szCs w:val="19"/>
        </w:rPr>
        <w:t xml:space="preserve">, categoria 1A o 1B, effetti nocivi sulla funzione sessuale e la fertilità o sullo sviluppo di cui al punto 3.7 dell'allegato I del regolamento (CE) n. 1272/2008; </w:t>
      </w:r>
      <w:r>
        <w:rPr>
          <w:b/>
          <w:bCs/>
          <w:color w:val="211D1E"/>
          <w:sz w:val="19"/>
          <w:szCs w:val="19"/>
        </w:rPr>
        <w:t xml:space="preserve">▼C1 </w:t>
      </w:r>
    </w:p>
    <w:p w:rsidR="00125D71" w:rsidRDefault="00125D71" w:rsidP="00A025A0">
      <w:pPr>
        <w:pStyle w:val="CM4"/>
        <w:spacing w:before="60" w:after="60"/>
        <w:jc w:val="both"/>
        <w:rPr>
          <w:color w:val="211D1E"/>
          <w:sz w:val="19"/>
          <w:szCs w:val="19"/>
        </w:rPr>
      </w:pPr>
      <w:r>
        <w:rPr>
          <w:color w:val="211D1E"/>
          <w:sz w:val="19"/>
          <w:szCs w:val="19"/>
        </w:rPr>
        <w:t xml:space="preserve">d) le sostanze che sono </w:t>
      </w:r>
      <w:r w:rsidRPr="002017E8">
        <w:rPr>
          <w:b/>
          <w:color w:val="211D1E"/>
          <w:sz w:val="19"/>
          <w:szCs w:val="19"/>
        </w:rPr>
        <w:t>persistenti, bioaccumulabili e tossiche</w:t>
      </w:r>
      <w:r>
        <w:rPr>
          <w:color w:val="211D1E"/>
          <w:sz w:val="19"/>
          <w:szCs w:val="19"/>
        </w:rPr>
        <w:t xml:space="preserve">, secondo i criteri di cui all'allegato XIII del presente regolamento; </w:t>
      </w:r>
    </w:p>
    <w:p w:rsidR="00125D71" w:rsidRDefault="00125D71" w:rsidP="00A025A0">
      <w:pPr>
        <w:pStyle w:val="CM4"/>
        <w:spacing w:before="60" w:after="60"/>
        <w:jc w:val="both"/>
        <w:rPr>
          <w:color w:val="211D1E"/>
          <w:sz w:val="19"/>
          <w:szCs w:val="19"/>
        </w:rPr>
      </w:pPr>
      <w:r>
        <w:rPr>
          <w:color w:val="211D1E"/>
          <w:sz w:val="19"/>
          <w:szCs w:val="19"/>
        </w:rPr>
        <w:t xml:space="preserve">e) le sostanze che sono </w:t>
      </w:r>
      <w:r w:rsidRPr="002017E8">
        <w:rPr>
          <w:b/>
          <w:color w:val="211D1E"/>
          <w:sz w:val="19"/>
          <w:szCs w:val="19"/>
        </w:rPr>
        <w:t>molto persistenti e molto bioaccumulabili</w:t>
      </w:r>
      <w:r>
        <w:rPr>
          <w:color w:val="211D1E"/>
          <w:sz w:val="19"/>
          <w:szCs w:val="19"/>
        </w:rPr>
        <w:t xml:space="preserve">, secondo i criteri di cui all'allegato XIII del presente regolamento; </w:t>
      </w:r>
    </w:p>
    <w:p w:rsidR="00DD1F5F" w:rsidRDefault="00125D71" w:rsidP="00A025A0">
      <w:pPr>
        <w:jc w:val="both"/>
        <w:rPr>
          <w:color w:val="211D1E"/>
          <w:sz w:val="19"/>
          <w:szCs w:val="19"/>
        </w:rPr>
      </w:pPr>
      <w:r>
        <w:rPr>
          <w:color w:val="211D1E"/>
          <w:sz w:val="19"/>
          <w:szCs w:val="19"/>
        </w:rPr>
        <w:t xml:space="preserve">f) le sostanze come quelle aventi proprietà che </w:t>
      </w:r>
      <w:r w:rsidRPr="002017E8">
        <w:rPr>
          <w:b/>
          <w:color w:val="211D1E"/>
          <w:sz w:val="19"/>
          <w:szCs w:val="19"/>
        </w:rPr>
        <w:t>perturbano il sistema endocrino</w:t>
      </w:r>
      <w:r>
        <w:rPr>
          <w:color w:val="211D1E"/>
          <w:sz w:val="19"/>
          <w:szCs w:val="19"/>
        </w:rPr>
        <w:t xml:space="preserve"> o quelle aventi proprietà persistenti, bioaccumulabili e tossiche o molto persistenti e molto bioaccumulabili, che non rispondono ai criteri di cui alle lettere d) o e), per le quali è scientificamente comprovata la probabilità di effetti gravi per la salute umana o per l'ambiente che danno adito ad un livello di preoccupazione equivalente a quella suscitata dalle altre sostanze di cui alle lettere da a) a e), e che sono identificate in base ad una valutazione caso per caso secondo la procedura di cui all'articolo 59.</w:t>
      </w:r>
    </w:p>
    <w:p w:rsidR="00C53CAB" w:rsidRDefault="00C53CAB" w:rsidP="00A025A0">
      <w:pPr>
        <w:jc w:val="both"/>
        <w:rPr>
          <w:color w:val="211D1E"/>
          <w:sz w:val="19"/>
          <w:szCs w:val="19"/>
        </w:rPr>
      </w:pPr>
      <w:bookmarkStart w:id="0" w:name="_GoBack"/>
      <w:bookmarkEnd w:id="0"/>
    </w:p>
    <w:p w:rsidR="00C53CAB" w:rsidRDefault="00C53CAB" w:rsidP="00A025A0">
      <w:pPr>
        <w:jc w:val="both"/>
        <w:rPr>
          <w:color w:val="211D1E"/>
          <w:sz w:val="19"/>
          <w:szCs w:val="19"/>
        </w:rPr>
      </w:pPr>
      <w:r>
        <w:rPr>
          <w:color w:val="211D1E"/>
          <w:sz w:val="19"/>
          <w:szCs w:val="19"/>
        </w:rPr>
        <w:t>L’Allegato XIV è molto specialistico</w:t>
      </w:r>
    </w:p>
    <w:p w:rsidR="00C53CAB" w:rsidRDefault="00C53CAB" w:rsidP="00A025A0">
      <w:pPr>
        <w:jc w:val="both"/>
      </w:pPr>
    </w:p>
    <w:sectPr w:rsidR="00C53CA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D71"/>
    <w:rsid w:val="00125D71"/>
    <w:rsid w:val="002017E8"/>
    <w:rsid w:val="005712AC"/>
    <w:rsid w:val="00A025A0"/>
    <w:rsid w:val="00C53CAB"/>
    <w:rsid w:val="00DD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M1">
    <w:name w:val="CM1"/>
    <w:basedOn w:val="Normale"/>
    <w:next w:val="Normale"/>
    <w:uiPriority w:val="99"/>
    <w:rsid w:val="00125D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M3">
    <w:name w:val="CM3"/>
    <w:basedOn w:val="Normale"/>
    <w:next w:val="Normale"/>
    <w:uiPriority w:val="99"/>
    <w:rsid w:val="00125D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M4">
    <w:name w:val="CM4"/>
    <w:basedOn w:val="Normale"/>
    <w:next w:val="Normale"/>
    <w:uiPriority w:val="99"/>
    <w:rsid w:val="00125D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25D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M1">
    <w:name w:val="CM1"/>
    <w:basedOn w:val="Normale"/>
    <w:next w:val="Normale"/>
    <w:uiPriority w:val="99"/>
    <w:rsid w:val="00125D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M3">
    <w:name w:val="CM3"/>
    <w:basedOn w:val="Normale"/>
    <w:next w:val="Normale"/>
    <w:uiPriority w:val="99"/>
    <w:rsid w:val="00125D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M4">
    <w:name w:val="CM4"/>
    <w:basedOn w:val="Normale"/>
    <w:next w:val="Normale"/>
    <w:uiPriority w:val="99"/>
    <w:rsid w:val="00125D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25D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Casciu Ext</dc:creator>
  <cp:lastModifiedBy>Andrea Casciu Ext</cp:lastModifiedBy>
  <cp:revision>5</cp:revision>
  <dcterms:created xsi:type="dcterms:W3CDTF">2025-02-05T11:25:00Z</dcterms:created>
  <dcterms:modified xsi:type="dcterms:W3CDTF">2025-02-05T11:53:00Z</dcterms:modified>
</cp:coreProperties>
</file>